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8227"/>
  <workbookPr defaultThemeVersion="124226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Sciopero 10 gennaio\"/>
    </mc:Choice>
  </mc:AlternateContent>
  <xr:revisionPtr revIDLastSave="0" documentId="8_{C68829B8-A65E-47C4-928F-F10B6B938AC4}" xr6:coauthVersionLast="47" xr6:coauthVersionMax="47" xr10:uidLastSave="{00000000-0000-0000-0000-000000000000}"/>
  <bookViews>
    <workbookView xWindow="-120" yWindow="-120" windowWidth="29040" windowHeight="15840" xr2:uid="{00000000-000D-0000-FFFF-FFFF00000000}"/>
  </bookViews>
  <sheets>
    <sheet name="Foglio2" sheetId="2" r:id="rId1"/>
    <sheet name="Foglio3" sheetId="3" r:id="rId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31" uniqueCount="29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Nazionale scuola</t>
  </si>
  <si>
    <t>Intera giornata</t>
  </si>
  <si>
    <t>x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t>Precedenti azioni di sciopero</t>
  </si>
  <si>
    <r>
      <t>% adesione nazionale</t>
    </r>
    <r>
      <rPr>
        <b/>
        <i/>
        <sz val="8"/>
        <color theme="1"/>
        <rFont val="Calibri"/>
        <family val="2"/>
        <scheme val="minor"/>
      </rPr>
      <t xml:space="preserve"> (2)</t>
    </r>
  </si>
  <si>
    <r>
      <t xml:space="preserve">% Rappresentatività a livello nazionale </t>
    </r>
    <r>
      <rPr>
        <b/>
        <i/>
        <sz val="8"/>
        <color theme="1"/>
        <rFont val="Calibri"/>
        <family val="2"/>
        <scheme val="minor"/>
      </rPr>
      <t>(1)</t>
    </r>
  </si>
  <si>
    <r>
      <rPr>
        <b/>
        <sz val="7"/>
        <color theme="1"/>
        <rFont val="Calibri"/>
        <family val="2"/>
        <scheme val="minor"/>
      </rPr>
      <t>(1)</t>
    </r>
    <r>
      <rPr>
        <sz val="7"/>
        <color theme="1"/>
        <rFont val="Calibri"/>
        <family val="2"/>
        <scheme val="minor"/>
      </rPr>
      <t xml:space="preserve"> Rappresentatività nel Comparto Istruzione e Ricerca  - Fonte: ARAN</t>
    </r>
  </si>
  <si>
    <r>
      <rPr>
        <b/>
        <sz val="7"/>
        <color theme="1"/>
        <rFont val="Calibri"/>
        <family val="2"/>
        <scheme val="minor"/>
      </rPr>
      <t>(2)</t>
    </r>
    <r>
      <rPr>
        <sz val="7"/>
        <color theme="1"/>
        <rFont val="Calibri"/>
        <family val="2"/>
        <scheme val="minor"/>
      </rPr>
      <t xml:space="preserve"> Fonte: Dati di adesione nel Comparto Istruzione e Ricerca - Settore Istituzioni scolastiche - Fonte: Ministero dell'istruzione e del merito</t>
    </r>
  </si>
  <si>
    <t>CSLE</t>
  </si>
  <si>
    <t>Motivazioni dello sciopero proclamato da Confederazione CSLE</t>
  </si>
  <si>
    <t>nazionale</t>
  </si>
  <si>
    <t>2023-2024</t>
  </si>
  <si>
    <t xml:space="preserve"> SCIOPERO DEL 10 GENNAIO 2025</t>
  </si>
  <si>
    <t>CSLE ( Confederazione Sindacale Lavoratori Europei) - Sciopero intera giornata di tutto il personale docente, educativo e Ata, a tempo determinato e indeterminato</t>
  </si>
  <si>
    <t>Personale docente, educativo ed Ata</t>
  </si>
  <si>
    <t>Un aumento più oneroso degli stipendi portando i salmi allo standard Europeo;abolizione immediata dell'obbligo verso i Collaboratori scolastici ad eflettuare cambio di pannolìni e igene sanitaria su alunni "D.A."; predisporre corsi abilitanti per i Collaboratori che vogliono effettuare la mansione in cui si prevede pannolini e igiene sanitaria su alunni "D.A." e riconoscimento economico suppletivo; abolizione immediata del decurtamento orario sulle ferie per chi aderisce agli scioperi, in quanto azione anti Costituzionale e anti Democratica; mancata erogazione di indennizzo per la tumazione codice 1531; rispetto sulle sostituzioni del personale circolare n"354 del05/01/2A4; rispetto del rapporto fiontale 1 a 7 educatrice/bambhi legge regionale n"7/2020 art.35 comma 1; TFR e Buoni pasto non erogati, sostituzione su ogni bambino DA per intero turno di frequenza sia mattina che pomeriggio con utilizzo di 2 supplenti per coprire I'intera giornata dell'utente.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0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i/>
      <sz val="8"/>
      <color theme="1"/>
      <name val="Calibri"/>
      <family val="2"/>
      <scheme val="minor"/>
    </font>
    <font>
      <b/>
      <i/>
      <sz val="11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sz val="11"/>
      <name val="Calibri"/>
      <family val="2"/>
      <scheme val="minor"/>
    </font>
    <font>
      <sz val="7"/>
      <color theme="1"/>
      <name val="Calibri"/>
      <family val="2"/>
      <scheme val="minor"/>
    </font>
    <font>
      <b/>
      <sz val="7"/>
      <color theme="1"/>
      <name val="Calibri"/>
      <family val="2"/>
      <scheme val="minor"/>
    </font>
    <font>
      <b/>
      <sz val="11"/>
      <color rgb="FF000000"/>
      <name val="Calibri"/>
      <family val="2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1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50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/>
    </xf>
    <xf numFmtId="0" fontId="1" fillId="0" borderId="1" xfId="0" applyFont="1" applyBorder="1" applyAlignment="1">
      <alignment horizontal="center" vertical="center" wrapText="1"/>
    </xf>
    <xf numFmtId="0" fontId="1" fillId="0" borderId="0" xfId="0" applyFont="1" applyAlignment="1">
      <alignment horizontal="center"/>
    </xf>
    <xf numFmtId="0" fontId="1" fillId="0" borderId="0" xfId="0" applyFont="1" applyAlignment="1">
      <alignment horizontal="center" vertical="center"/>
    </xf>
    <xf numFmtId="0" fontId="1" fillId="0" borderId="0" xfId="0" applyFont="1"/>
    <xf numFmtId="0" fontId="0" fillId="0" borderId="0" xfId="0" applyAlignment="1">
      <alignment horizontal="center"/>
    </xf>
    <xf numFmtId="0" fontId="0" fillId="0" borderId="0" xfId="0" applyAlignment="1">
      <alignment horizontal="center" wrapText="1"/>
    </xf>
    <xf numFmtId="0" fontId="0" fillId="0" borderId="1" xfId="0" applyBorder="1"/>
    <xf numFmtId="2" fontId="0" fillId="0" borderId="1" xfId="0" applyNumberFormat="1" applyBorder="1"/>
    <xf numFmtId="0" fontId="0" fillId="0" borderId="8" xfId="0" applyBorder="1"/>
    <xf numFmtId="0" fontId="3" fillId="0" borderId="7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2" fontId="3" fillId="0" borderId="1" xfId="0" applyNumberFormat="1" applyFont="1" applyBorder="1" applyAlignment="1">
      <alignment horizontal="center" vertical="center" wrapText="1"/>
    </xf>
    <xf numFmtId="0" fontId="3" fillId="0" borderId="8" xfId="0" applyFont="1" applyBorder="1" applyAlignment="1">
      <alignment horizontal="center" vertical="center" wrapText="1"/>
    </xf>
    <xf numFmtId="0" fontId="0" fillId="0" borderId="0" xfId="0" applyAlignment="1">
      <alignment wrapText="1"/>
    </xf>
    <xf numFmtId="2" fontId="0" fillId="0" borderId="0" xfId="0" applyNumberFormat="1"/>
    <xf numFmtId="0" fontId="1" fillId="0" borderId="0" xfId="0" applyFont="1" applyAlignment="1">
      <alignment horizontal="left"/>
    </xf>
    <xf numFmtId="0" fontId="1" fillId="0" borderId="7" xfId="0" applyFont="1" applyBorder="1" applyAlignment="1">
      <alignment vertical="center"/>
    </xf>
    <xf numFmtId="0" fontId="3" fillId="2" borderId="1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10" fontId="1" fillId="0" borderId="1" xfId="0" applyNumberFormat="1" applyFont="1" applyBorder="1" applyAlignment="1">
      <alignment horizontal="center" vertical="center"/>
    </xf>
    <xf numFmtId="14" fontId="1" fillId="0" borderId="0" xfId="0" applyNumberFormat="1" applyFont="1" applyAlignment="1">
      <alignment horizontal="left" vertical="top"/>
    </xf>
    <xf numFmtId="2" fontId="1" fillId="0" borderId="0" xfId="0" applyNumberFormat="1" applyFont="1" applyAlignment="1">
      <alignment horizontal="left"/>
    </xf>
    <xf numFmtId="0" fontId="7" fillId="0" borderId="0" xfId="0" quotePrefix="1" applyFont="1" applyAlignment="1">
      <alignment horizontal="left" vertical="top" wrapText="1"/>
    </xf>
    <xf numFmtId="0" fontId="9" fillId="0" borderId="1" xfId="0" applyFont="1" applyBorder="1" applyAlignment="1">
      <alignment horizontal="center" vertical="center"/>
    </xf>
    <xf numFmtId="14" fontId="9" fillId="0" borderId="1" xfId="0" applyNumberFormat="1" applyFont="1" applyBorder="1" applyAlignment="1">
      <alignment horizontal="center" vertical="center"/>
    </xf>
    <xf numFmtId="0" fontId="0" fillId="0" borderId="5" xfId="0" applyBorder="1" applyAlignment="1">
      <alignment horizontal="left" vertical="center" wrapText="1"/>
    </xf>
    <xf numFmtId="0" fontId="0" fillId="0" borderId="0" xfId="0" applyAlignment="1">
      <alignment horizontal="left" vertical="center" wrapText="1"/>
    </xf>
    <xf numFmtId="0" fontId="0" fillId="0" borderId="6" xfId="0" applyBorder="1" applyAlignment="1">
      <alignment horizontal="left" vertical="center" wrapText="1"/>
    </xf>
    <xf numFmtId="0" fontId="5" fillId="0" borderId="7" xfId="0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/>
    </xf>
    <xf numFmtId="0" fontId="5" fillId="0" borderId="8" xfId="0" applyFont="1" applyBorder="1" applyAlignment="1">
      <alignment horizontal="center" vertical="center"/>
    </xf>
    <xf numFmtId="0" fontId="0" fillId="0" borderId="9" xfId="0" applyBorder="1" applyAlignment="1">
      <alignment horizontal="left" wrapText="1"/>
    </xf>
    <xf numFmtId="0" fontId="0" fillId="0" borderId="3" xfId="0" applyBorder="1" applyAlignment="1">
      <alignment horizontal="left" wrapText="1"/>
    </xf>
    <xf numFmtId="0" fontId="0" fillId="0" borderId="10" xfId="0" applyBorder="1" applyAlignment="1">
      <alignment horizontal="left" wrapText="1"/>
    </xf>
    <xf numFmtId="0" fontId="1" fillId="2" borderId="1" xfId="0" applyFont="1" applyFill="1" applyBorder="1" applyAlignment="1">
      <alignment horizontal="center" vertical="center" wrapText="1"/>
    </xf>
    <xf numFmtId="0" fontId="0" fillId="2" borderId="1" xfId="0" applyFill="1" applyBorder="1" applyAlignment="1">
      <alignment horizontal="center" vertical="center" wrapText="1"/>
    </xf>
    <xf numFmtId="0" fontId="4" fillId="0" borderId="1" xfId="0" applyFont="1" applyBorder="1" applyAlignment="1">
      <alignment vertical="center" wrapText="1"/>
    </xf>
    <xf numFmtId="0" fontId="5" fillId="0" borderId="5" xfId="0" applyFont="1" applyBorder="1" applyAlignment="1">
      <alignment horizontal="left" vertical="center" wrapText="1"/>
    </xf>
    <xf numFmtId="0" fontId="5" fillId="0" borderId="0" xfId="0" applyFont="1" applyAlignment="1">
      <alignment horizontal="left" vertical="center" wrapText="1"/>
    </xf>
    <xf numFmtId="0" fontId="6" fillId="0" borderId="0" xfId="0" applyFont="1" applyAlignment="1">
      <alignment horizontal="left" vertical="center" wrapText="1"/>
    </xf>
    <xf numFmtId="0" fontId="6" fillId="0" borderId="6" xfId="0" applyFont="1" applyBorder="1" applyAlignment="1">
      <alignment horizontal="left" vertical="center" wrapText="1"/>
    </xf>
    <xf numFmtId="0" fontId="4" fillId="0" borderId="1" xfId="0" applyFont="1" applyBorder="1" applyAlignment="1">
      <alignment horizontal="center" vertical="center" wrapText="1"/>
    </xf>
    <xf numFmtId="0" fontId="5" fillId="2" borderId="2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vertical="center" wrapText="1"/>
    </xf>
    <xf numFmtId="0" fontId="5" fillId="2" borderId="4" xfId="0" applyFont="1" applyFill="1" applyBorder="1" applyAlignment="1">
      <alignment horizontal="center" vertical="center" wrapText="1"/>
    </xf>
    <xf numFmtId="2" fontId="0" fillId="0" borderId="2" xfId="0" applyNumberFormat="1" applyBorder="1" applyAlignment="1">
      <alignment horizontal="center" vertical="center"/>
    </xf>
    <xf numFmtId="2" fontId="0" fillId="0" borderId="4" xfId="0" applyNumberFormat="1" applyBorder="1" applyAlignment="1">
      <alignment horizontal="center" vertical="center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P16"/>
  <sheetViews>
    <sheetView tabSelected="1" topLeftCell="A4" workbookViewId="0">
      <selection activeCell="A2" sqref="A2:G2"/>
    </sheetView>
  </sheetViews>
  <sheetFormatPr defaultRowHeight="15" x14ac:dyDescent="0.25"/>
  <cols>
    <col min="1" max="1" width="31.5703125" customWidth="1"/>
    <col min="2" max="2" width="25.5703125" customWidth="1"/>
    <col min="3" max="3" width="33.42578125" customWidth="1"/>
    <col min="4" max="5" width="19.5703125" customWidth="1"/>
    <col min="6" max="6" width="12.140625" style="17" customWidth="1"/>
    <col min="7" max="7" width="15" customWidth="1"/>
  </cols>
  <sheetData>
    <row r="1" spans="1:16" ht="60.75" customHeight="1" x14ac:dyDescent="0.25">
      <c r="A1" s="39" t="s">
        <v>15</v>
      </c>
      <c r="B1" s="39"/>
      <c r="C1" s="39"/>
      <c r="D1" s="39"/>
      <c r="E1" s="39"/>
      <c r="F1" s="39"/>
      <c r="G1" s="39"/>
    </row>
    <row r="2" spans="1:16" ht="48.75" customHeight="1" x14ac:dyDescent="0.25">
      <c r="A2" s="44" t="s">
        <v>13</v>
      </c>
      <c r="B2" s="44"/>
      <c r="C2" s="44"/>
      <c r="D2" s="44"/>
      <c r="E2" s="44"/>
      <c r="F2" s="44"/>
      <c r="G2" s="44"/>
    </row>
    <row r="3" spans="1:16" ht="22.5" customHeight="1" x14ac:dyDescent="0.25">
      <c r="A3" s="45" t="s">
        <v>25</v>
      </c>
      <c r="B3" s="46"/>
      <c r="C3" s="46"/>
      <c r="D3" s="46"/>
      <c r="E3" s="46"/>
      <c r="F3" s="46"/>
      <c r="G3" s="47"/>
    </row>
    <row r="4" spans="1:16" s="7" customFormat="1" ht="51" customHeight="1" x14ac:dyDescent="0.25">
      <c r="A4" s="40" t="s">
        <v>26</v>
      </c>
      <c r="B4" s="41"/>
      <c r="C4" s="41"/>
      <c r="D4" s="41"/>
      <c r="E4" s="41"/>
      <c r="F4" s="42"/>
      <c r="G4" s="43"/>
      <c r="H4" s="8"/>
      <c r="I4" s="8"/>
      <c r="J4" s="8"/>
      <c r="K4" s="8"/>
      <c r="L4" s="8"/>
      <c r="M4" s="8"/>
      <c r="N4" s="8"/>
      <c r="O4" s="8"/>
      <c r="P4" s="8"/>
    </row>
    <row r="5" spans="1:16" s="7" customFormat="1" ht="35.25" customHeight="1" x14ac:dyDescent="0.25">
      <c r="A5" s="21" t="s">
        <v>14</v>
      </c>
      <c r="B5" s="20" t="s">
        <v>18</v>
      </c>
      <c r="C5" s="21" t="s">
        <v>8</v>
      </c>
      <c r="D5" s="21" t="s">
        <v>0</v>
      </c>
      <c r="E5" s="21" t="s">
        <v>5</v>
      </c>
      <c r="F5" s="37" t="s">
        <v>12</v>
      </c>
      <c r="G5" s="38"/>
    </row>
    <row r="6" spans="1:16" s="7" customFormat="1" ht="33" customHeight="1" x14ac:dyDescent="0.25">
      <c r="A6" s="3" t="s">
        <v>21</v>
      </c>
      <c r="B6" s="22">
        <v>0</v>
      </c>
      <c r="C6" s="1"/>
      <c r="D6" s="1" t="s">
        <v>9</v>
      </c>
      <c r="E6" s="1" t="s">
        <v>10</v>
      </c>
      <c r="F6" s="48"/>
      <c r="G6" s="49"/>
    </row>
    <row r="7" spans="1:16" s="7" customFormat="1" ht="28.5" customHeight="1" x14ac:dyDescent="0.25">
      <c r="A7" s="28" t="s">
        <v>27</v>
      </c>
      <c r="B7" s="29"/>
      <c r="C7" s="29"/>
      <c r="D7" s="29"/>
      <c r="E7" s="29"/>
      <c r="F7" s="29"/>
      <c r="G7" s="30"/>
    </row>
    <row r="8" spans="1:16" s="7" customFormat="1" ht="28.5" customHeight="1" x14ac:dyDescent="0.25">
      <c r="A8" s="31" t="s">
        <v>22</v>
      </c>
      <c r="B8" s="32"/>
      <c r="C8" s="32"/>
      <c r="D8" s="32"/>
      <c r="E8" s="32"/>
      <c r="F8" s="32"/>
      <c r="G8" s="33"/>
    </row>
    <row r="9" spans="1:16" s="7" customFormat="1" ht="105" customHeight="1" x14ac:dyDescent="0.25">
      <c r="A9" s="34" t="s">
        <v>28</v>
      </c>
      <c r="B9" s="35"/>
      <c r="C9" s="35"/>
      <c r="D9" s="35"/>
      <c r="E9" s="35"/>
      <c r="F9" s="35"/>
      <c r="G9" s="36"/>
    </row>
    <row r="10" spans="1:16" s="7" customFormat="1" ht="30.75" customHeight="1" x14ac:dyDescent="0.25">
      <c r="A10" s="19" t="s">
        <v>16</v>
      </c>
      <c r="B10" s="9"/>
      <c r="C10" s="9"/>
      <c r="D10" s="9"/>
      <c r="E10" s="9"/>
      <c r="F10" s="10"/>
      <c r="G10" s="11"/>
    </row>
    <row r="11" spans="1:16" s="7" customFormat="1" ht="41.25" x14ac:dyDescent="0.25">
      <c r="A11" s="12" t="s">
        <v>1</v>
      </c>
      <c r="B11" s="13" t="s">
        <v>2</v>
      </c>
      <c r="C11" s="13" t="s">
        <v>0</v>
      </c>
      <c r="D11" s="13" t="s">
        <v>3</v>
      </c>
      <c r="E11" s="13" t="s">
        <v>7</v>
      </c>
      <c r="F11" s="14" t="s">
        <v>17</v>
      </c>
      <c r="G11" s="15" t="s">
        <v>4</v>
      </c>
    </row>
    <row r="12" spans="1:16" x14ac:dyDescent="0.25">
      <c r="A12" s="26" t="s">
        <v>24</v>
      </c>
      <c r="B12" s="27">
        <v>45560</v>
      </c>
      <c r="C12" s="26" t="s">
        <v>23</v>
      </c>
      <c r="D12" s="26" t="s">
        <v>11</v>
      </c>
      <c r="E12" s="26" t="s">
        <v>6</v>
      </c>
      <c r="F12" s="26">
        <v>0.6</v>
      </c>
      <c r="G12" s="2"/>
    </row>
    <row r="13" spans="1:16" x14ac:dyDescent="0.25">
      <c r="A13" s="6"/>
      <c r="B13" s="23"/>
      <c r="C13" s="4"/>
      <c r="D13" s="5"/>
      <c r="E13" s="5"/>
      <c r="F13" s="24"/>
      <c r="G13" s="6"/>
    </row>
    <row r="14" spans="1:16" x14ac:dyDescent="0.25">
      <c r="A14" s="18" t="s">
        <v>12</v>
      </c>
    </row>
    <row r="15" spans="1:16" ht="18" x14ac:dyDescent="0.25">
      <c r="A15" s="25" t="s">
        <v>19</v>
      </c>
      <c r="B15" s="16"/>
      <c r="C15" s="16"/>
    </row>
    <row r="16" spans="1:16" ht="36" x14ac:dyDescent="0.25">
      <c r="A16" s="25" t="s">
        <v>20</v>
      </c>
    </row>
  </sheetData>
  <mergeCells count="9">
    <mergeCell ref="A7:G7"/>
    <mergeCell ref="A8:G8"/>
    <mergeCell ref="A9:G9"/>
    <mergeCell ref="F5:G5"/>
    <mergeCell ref="A1:G1"/>
    <mergeCell ref="A4:G4"/>
    <mergeCell ref="A2:G2"/>
    <mergeCell ref="A3:G3"/>
    <mergeCell ref="F6:G6"/>
  </mergeCells>
  <pageMargins left="0.70866141732283472" right="0.70866141732283472" top="0.74803149606299213" bottom="0.74803149606299213" header="0.31496062992125984" footer="0.31496062992125984"/>
  <pageSetup paperSize="9" scale="75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2</vt:i4>
      </vt:variant>
    </vt:vector>
  </HeadingPairs>
  <TitlesOfParts>
    <vt:vector size="2" baseType="lpstr">
      <vt:lpstr>Foglio2</vt:lpstr>
      <vt:lpstr>Foglio3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lastPrinted>2023-02-27T11:31:13Z</cp:lastPrinted>
  <dcterms:created xsi:type="dcterms:W3CDTF">2021-01-14T10:19:12Z</dcterms:created>
  <dcterms:modified xsi:type="dcterms:W3CDTF">2025-01-07T10:12:33Z</dcterms:modified>
</cp:coreProperties>
</file>